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1026"/>
          <w:sz w:val="32"/>
          <w:szCs w:val="32"/>
        </w:rPr>
        <w:t xml:space="preserve">COPYRIGHT &amp; OWNERSHIP AGREEMENT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A4A4A"/>
          <w:sz w:val="20"/>
          <w:szCs w:val="20"/>
        </w:rPr>
        <w:t xml:space="preserve">Service work — not a label deal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Assignment runs engineer → client when the invoice is paid in full. It never runs client → iAi. Mix/master is a fee. It does not sign anyone to the label and it does not take publishing.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Parties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Copyright &amp; Ownership Agreement (“Agreement”) is between iAi Records / Italo Savaglio (“Studio”) and the Client named below.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Client (legal name):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Artist / project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Email: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Effective 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1. Two copyrights, kept by the client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i w:val="false"/>
          <w:iCs w:val="false"/>
          <w:color w:val="222222"/>
          <w:sz w:val="22"/>
          <w:szCs w:val="22"/>
        </w:rPr>
        <w:t xml:space="preserve">Composition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 — song, lyrics, melody — stays with the writer(s) / publisher.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i w:val="false"/>
          <w:iCs w:val="false"/>
          <w:color w:val="222222"/>
          <w:sz w:val="22"/>
          <w:szCs w:val="22"/>
        </w:rPr>
        <w:t xml:space="preserve">Sound recording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 — the master the client sent — stays with the client (or the client’s existing label).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2. What iAi assigns on full payment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Freelance mix work is not always a statutory work-made-for-hire in the U.S. So the agreement does both: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Treats the delivered mix/master files as commissioned work for the client to the extent the law allows; and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If that fails, iAi assigns every right it might have in those delivered files to the client, worldwide, when paid in full.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Until paid, finals stay with iAi and may not be commercially released. The deposit starts work. The deposit does not move copyright.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3. What iAi keeps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DAW session, plugin presets, templates, PhantomFocus calibration, and methods — unless the client buys a session-file delivery in writing.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4. Client warranty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The client owns or has a written license for every vocal, sample, loop, interpolation, featured performance, and any AI-generated audio in the session. iAi does not clear samples. The client indemnifies iAi Records and Italo Savaglio against claims from uncleared material they sent.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5. Credit and portfolio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Default credit: “Mixed and/or Mastered by Italo Savaglio at iAi Records / PhantomFocus System.” Client can opt out. After commercial release, iAi may use a short excerpt of that released version in a portfolio. Unreleased work is never posted.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6. Governing law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This Agreement is governed by the laws of the Commonwealth of Pennsylvania. Venue is Dauphin County, Pennsylvania.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0B1026"/>
          <w:sz w:val="24"/>
          <w:szCs w:val="24"/>
        </w:rPr>
        <w:t xml:space="preserve">Signatures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22222"/>
          <w:sz w:val="22"/>
          <w:szCs w:val="22"/>
        </w:rPr>
        <w:t xml:space="preserve">By signing, each party agrees to the terms above.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color w:val="0B1026"/>
          <w:sz w:val="22"/>
          <w:szCs w:val="22"/>
        </w:rPr>
        <w:t xml:space="preserve">Studio — iAi Records / Italo Savaglio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Printed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Title: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color w:val="0B1026"/>
          <w:sz w:val="22"/>
          <w:szCs w:val="22"/>
        </w:rPr>
        <w:t xml:space="preserve">Client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Printed 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Artist / project: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20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8"/>
      </w:pBdr>
      <w:tabs>
        <w:tab w:val="right" w:pos="10080"/>
      </w:tabs>
      <w:spacing w:before="80"/>
    </w:pPr>
    <w:r>
      <w:rPr>
        <w:rFonts w:ascii="Arial" w:cs="Arial" w:eastAsia="Arial" w:hAnsi="Arial"/>
        <w:color w:val="4A4A4A"/>
        <w:sz w:val="16"/>
        <w:szCs w:val="16"/>
      </w:rPr>
      <w:t xml:space="preserve">Governing law: Commonwealth of Pennsylvania  ·  Venue: Dauphin County</w:t>
    </w:r>
    <w:r>
      <w:rPr>
        <w:rFonts w:ascii="Arial" w:cs="Arial" w:eastAsia="Arial" w:hAnsi="Arial"/>
        <w:color w:val="4A4A4A"/>
        <w:sz w:val="16"/>
        <w:szCs w:val="16"/>
      </w:rPr>
      <w:t xml:space="preserve">	Page </w:t>
    </w:r>
    <w:r>
      <w:rPr>
        <w:rFonts w:ascii="Arial" w:cs="Arial" w:eastAsia="Arial" w:hAnsi="Arial"/>
        <w:color w:val="4A4A4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B1026" w:sz="8" w:space="6"/>
      </w:pBdr>
      <w:tabs>
        <w:tab w:val="right" w:pos="10080"/>
      </w:tabs>
      <w:spacing w:after="120"/>
    </w:pPr>
    <w:r>
      <w:rPr>
        <w:rFonts w:ascii="Arial" w:cs="Arial" w:eastAsia="Arial" w:hAnsi="Arial"/>
        <w:b/>
        <w:bCs/>
        <w:color w:val="0B1026"/>
        <w:sz w:val="18"/>
        <w:szCs w:val="18"/>
      </w:rPr>
      <w:t xml:space="preserve">iAi Records</w:t>
    </w:r>
    <w:r>
      <w:rPr>
        <w:rFonts w:ascii="Arial" w:cs="Arial" w:eastAsia="Arial" w:hAnsi="Arial"/>
        <w:color w:val="4A4A4A"/>
        <w:sz w:val="18"/>
        <w:szCs w:val="18"/>
      </w:rPr>
      <w:t xml:space="preserve">	Copyright &amp; Ownership Agreement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B1026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B102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2026-09-29T11:54:14.671Z</dcterms:created>
  <dcterms:modified xsi:type="dcterms:W3CDTF">2026-09-29T11:54:14.671Z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